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E04B7">
      <w:pPr>
        <w:rPr>
          <w:rStyle w:val="a5"/>
          <w:rFonts w:ascii="Arial" w:hAnsi="Arial" w:cs="Arial" w:hint="eastAsia"/>
          <w:color w:val="CC0000"/>
          <w:sz w:val="18"/>
          <w:szCs w:val="18"/>
        </w:rPr>
      </w:pPr>
      <w:r>
        <w:rPr>
          <w:rStyle w:val="a5"/>
          <w:rFonts w:ascii="Arial" w:hAnsi="Arial" w:cs="Arial"/>
          <w:color w:val="CC0000"/>
          <w:sz w:val="18"/>
          <w:szCs w:val="18"/>
        </w:rPr>
        <w:t>巴尔干火车通票</w:t>
      </w:r>
    </w:p>
    <w:p w:rsidR="00AE04B7" w:rsidRPr="00AE04B7" w:rsidRDefault="00AE04B7" w:rsidP="00AE04B7">
      <w:pPr>
        <w:widowControl/>
        <w:shd w:val="clear" w:color="auto" w:fill="FFFFFF"/>
        <w:jc w:val="left"/>
        <w:rPr>
          <w:rFonts w:ascii="Arial" w:eastAsia="宋体" w:hAnsi="Arial" w:cs="Arial"/>
          <w:color w:val="666666"/>
          <w:kern w:val="0"/>
          <w:sz w:val="18"/>
          <w:szCs w:val="18"/>
        </w:rPr>
      </w:pPr>
      <w:r w:rsidRPr="00AE04B7">
        <w:rPr>
          <w:rFonts w:ascii="Arial" w:eastAsia="宋体" w:hAnsi="Arial" w:cs="Arial"/>
          <w:b/>
          <w:bCs/>
          <w:color w:val="666666"/>
          <w:kern w:val="0"/>
          <w:sz w:val="18"/>
        </w:rPr>
        <w:t>票价表如下：欧元</w:t>
      </w:r>
      <w:r w:rsidRPr="00AE04B7">
        <w:rPr>
          <w:rFonts w:ascii="Arial" w:eastAsia="宋体" w:hAnsi="Arial" w:cs="Arial"/>
          <w:b/>
          <w:bCs/>
          <w:color w:val="666666"/>
          <w:kern w:val="0"/>
          <w:sz w:val="18"/>
        </w:rPr>
        <w:t>/</w:t>
      </w:r>
      <w:r w:rsidRPr="00AE04B7">
        <w:rPr>
          <w:rFonts w:ascii="Arial" w:eastAsia="宋体" w:hAnsi="Arial" w:cs="Arial"/>
          <w:b/>
          <w:bCs/>
          <w:color w:val="666666"/>
          <w:kern w:val="0"/>
          <w:sz w:val="18"/>
        </w:rPr>
        <w:t>人</w:t>
      </w:r>
    </w:p>
    <w:tbl>
      <w:tblPr>
        <w:tblW w:w="5000" w:type="pct"/>
        <w:tblCellSpacing w:w="7" w:type="dxa"/>
        <w:shd w:val="clear" w:color="auto" w:fill="CCCCCC"/>
        <w:tblCellMar>
          <w:left w:w="0" w:type="dxa"/>
          <w:right w:w="0" w:type="dxa"/>
        </w:tblCellMar>
        <w:tblLook w:val="04A0"/>
      </w:tblPr>
      <w:tblGrid>
        <w:gridCol w:w="3605"/>
        <w:gridCol w:w="1203"/>
        <w:gridCol w:w="1203"/>
        <w:gridCol w:w="1203"/>
        <w:gridCol w:w="1210"/>
      </w:tblGrid>
      <w:tr w:rsidR="00AE04B7" w:rsidRPr="00AE04B7" w:rsidTr="00AE04B7">
        <w:trPr>
          <w:tblCellSpacing w:w="7" w:type="dxa"/>
        </w:trPr>
        <w:tc>
          <w:tcPr>
            <w:tcW w:w="0" w:type="auto"/>
            <w:shd w:val="clear" w:color="auto" w:fill="F5F7FF"/>
            <w:tcMar>
              <w:top w:w="60" w:type="dxa"/>
              <w:left w:w="45" w:type="dxa"/>
              <w:bottom w:w="60" w:type="dxa"/>
              <w:right w:w="45" w:type="dxa"/>
            </w:tcMar>
            <w:vAlign w:val="center"/>
            <w:hideMark/>
          </w:tcPr>
          <w:p w:rsidR="00AE04B7" w:rsidRPr="00AE04B7" w:rsidRDefault="00AE04B7" w:rsidP="00AE04B7">
            <w:pPr>
              <w:widowControl/>
              <w:spacing w:before="150" w:after="150"/>
              <w:jc w:val="center"/>
              <w:rPr>
                <w:rFonts w:ascii="Arial" w:eastAsia="宋体" w:hAnsi="Arial" w:cs="Arial"/>
                <w:color w:val="666666"/>
                <w:kern w:val="0"/>
                <w:sz w:val="18"/>
                <w:szCs w:val="18"/>
              </w:rPr>
            </w:pPr>
            <w:r w:rsidRPr="00AE04B7">
              <w:rPr>
                <w:rFonts w:ascii="Arial" w:eastAsia="宋体" w:hAnsi="Arial" w:cs="Arial"/>
                <w:color w:val="666666"/>
                <w:kern w:val="0"/>
                <w:sz w:val="18"/>
                <w:szCs w:val="18"/>
              </w:rPr>
              <w:t> </w:t>
            </w:r>
          </w:p>
        </w:tc>
        <w:tc>
          <w:tcPr>
            <w:tcW w:w="0" w:type="auto"/>
            <w:gridSpan w:val="4"/>
            <w:shd w:val="clear" w:color="auto" w:fill="F5F7FF"/>
            <w:tcMar>
              <w:top w:w="60" w:type="dxa"/>
              <w:left w:w="45" w:type="dxa"/>
              <w:bottom w:w="60" w:type="dxa"/>
              <w:right w:w="45" w:type="dxa"/>
            </w:tcMar>
            <w:vAlign w:val="center"/>
            <w:hideMark/>
          </w:tcPr>
          <w:p w:rsidR="00AE04B7" w:rsidRPr="00AE04B7" w:rsidRDefault="00AE04B7" w:rsidP="00AE04B7">
            <w:pPr>
              <w:widowControl/>
              <w:spacing w:before="150" w:after="150"/>
              <w:jc w:val="center"/>
              <w:rPr>
                <w:rFonts w:ascii="Arial" w:eastAsia="宋体" w:hAnsi="Arial" w:cs="Arial"/>
                <w:color w:val="666666"/>
                <w:kern w:val="0"/>
                <w:sz w:val="18"/>
                <w:szCs w:val="18"/>
              </w:rPr>
            </w:pPr>
            <w:r w:rsidRPr="00AE04B7">
              <w:rPr>
                <w:rFonts w:ascii="Arial" w:eastAsia="宋体" w:hAnsi="Arial" w:cs="Arial"/>
                <w:color w:val="666666"/>
                <w:kern w:val="0"/>
                <w:sz w:val="18"/>
                <w:szCs w:val="18"/>
              </w:rPr>
              <w:t>一等舱</w:t>
            </w:r>
          </w:p>
        </w:tc>
      </w:tr>
      <w:tr w:rsidR="00AE04B7" w:rsidRPr="00AE04B7" w:rsidTr="00AE04B7">
        <w:trPr>
          <w:tblCellSpacing w:w="7" w:type="dxa"/>
        </w:trPr>
        <w:tc>
          <w:tcPr>
            <w:tcW w:w="0" w:type="auto"/>
            <w:shd w:val="clear" w:color="auto" w:fill="FFFCED"/>
            <w:tcMar>
              <w:top w:w="60" w:type="dxa"/>
              <w:left w:w="45" w:type="dxa"/>
              <w:bottom w:w="60" w:type="dxa"/>
              <w:right w:w="45" w:type="dxa"/>
            </w:tcMar>
            <w:vAlign w:val="center"/>
            <w:hideMark/>
          </w:tcPr>
          <w:p w:rsidR="00AE04B7" w:rsidRPr="00AE04B7" w:rsidRDefault="00AE04B7" w:rsidP="00AE04B7">
            <w:pPr>
              <w:widowControl/>
              <w:spacing w:before="150" w:after="150"/>
              <w:jc w:val="center"/>
              <w:rPr>
                <w:rFonts w:ascii="Arial" w:eastAsia="宋体" w:hAnsi="Arial" w:cs="Arial"/>
                <w:color w:val="666666"/>
                <w:kern w:val="0"/>
                <w:sz w:val="18"/>
                <w:szCs w:val="18"/>
              </w:rPr>
            </w:pPr>
            <w:r w:rsidRPr="00AE04B7">
              <w:rPr>
                <w:rFonts w:ascii="Arial" w:eastAsia="宋体" w:hAnsi="Arial" w:cs="Arial"/>
                <w:color w:val="666666"/>
                <w:kern w:val="0"/>
                <w:sz w:val="18"/>
                <w:szCs w:val="18"/>
              </w:rPr>
              <w:t xml:space="preserve">  </w:t>
            </w:r>
            <w:r w:rsidRPr="00AE04B7">
              <w:rPr>
                <w:rFonts w:ascii="Arial" w:eastAsia="宋体" w:hAnsi="Arial" w:cs="Arial"/>
                <w:color w:val="666666"/>
                <w:kern w:val="0"/>
                <w:sz w:val="18"/>
                <w:szCs w:val="18"/>
              </w:rPr>
              <w:pict/>
            </w:r>
          </w:p>
        </w:tc>
        <w:tc>
          <w:tcPr>
            <w:tcW w:w="0" w:type="auto"/>
            <w:shd w:val="clear" w:color="auto" w:fill="FFFCED"/>
            <w:tcMar>
              <w:top w:w="60" w:type="dxa"/>
              <w:left w:w="45" w:type="dxa"/>
              <w:bottom w:w="60" w:type="dxa"/>
              <w:right w:w="45" w:type="dxa"/>
            </w:tcMar>
            <w:vAlign w:val="center"/>
            <w:hideMark/>
          </w:tcPr>
          <w:p w:rsidR="00AE04B7" w:rsidRPr="00AE04B7" w:rsidRDefault="00AE04B7" w:rsidP="00AE04B7">
            <w:pPr>
              <w:widowControl/>
              <w:spacing w:before="150" w:after="150"/>
              <w:jc w:val="center"/>
              <w:rPr>
                <w:rFonts w:ascii="Arial" w:eastAsia="宋体" w:hAnsi="Arial" w:cs="Arial"/>
                <w:color w:val="666666"/>
                <w:kern w:val="0"/>
                <w:sz w:val="18"/>
                <w:szCs w:val="18"/>
              </w:rPr>
            </w:pPr>
            <w:r w:rsidRPr="00AE04B7">
              <w:rPr>
                <w:rFonts w:ascii="Arial" w:eastAsia="宋体" w:hAnsi="Arial" w:cs="Arial"/>
                <w:color w:val="666666"/>
                <w:kern w:val="0"/>
                <w:sz w:val="18"/>
                <w:szCs w:val="18"/>
              </w:rPr>
              <w:t>成人</w:t>
            </w:r>
          </w:p>
        </w:tc>
        <w:tc>
          <w:tcPr>
            <w:tcW w:w="0" w:type="auto"/>
            <w:shd w:val="clear" w:color="auto" w:fill="FFFCED"/>
            <w:tcMar>
              <w:top w:w="60" w:type="dxa"/>
              <w:left w:w="45" w:type="dxa"/>
              <w:bottom w:w="60" w:type="dxa"/>
              <w:right w:w="45" w:type="dxa"/>
            </w:tcMar>
            <w:vAlign w:val="center"/>
            <w:hideMark/>
          </w:tcPr>
          <w:p w:rsidR="00AE04B7" w:rsidRPr="00AE04B7" w:rsidRDefault="00AE04B7" w:rsidP="00AE04B7">
            <w:pPr>
              <w:widowControl/>
              <w:spacing w:before="150" w:after="150"/>
              <w:jc w:val="center"/>
              <w:rPr>
                <w:rFonts w:ascii="Arial" w:eastAsia="宋体" w:hAnsi="Arial" w:cs="Arial"/>
                <w:color w:val="666666"/>
                <w:kern w:val="0"/>
                <w:sz w:val="18"/>
                <w:szCs w:val="18"/>
              </w:rPr>
            </w:pPr>
            <w:r w:rsidRPr="00AE04B7">
              <w:rPr>
                <w:rFonts w:ascii="Arial" w:eastAsia="宋体" w:hAnsi="Arial" w:cs="Arial"/>
                <w:color w:val="666666"/>
                <w:kern w:val="0"/>
                <w:sz w:val="18"/>
                <w:szCs w:val="18"/>
              </w:rPr>
              <w:t>儿童</w:t>
            </w:r>
          </w:p>
        </w:tc>
        <w:tc>
          <w:tcPr>
            <w:tcW w:w="0" w:type="auto"/>
            <w:shd w:val="clear" w:color="auto" w:fill="FFFCED"/>
            <w:tcMar>
              <w:top w:w="60" w:type="dxa"/>
              <w:left w:w="45" w:type="dxa"/>
              <w:bottom w:w="60" w:type="dxa"/>
              <w:right w:w="45" w:type="dxa"/>
            </w:tcMar>
            <w:vAlign w:val="center"/>
            <w:hideMark/>
          </w:tcPr>
          <w:p w:rsidR="00AE04B7" w:rsidRPr="00AE04B7" w:rsidRDefault="00AE04B7" w:rsidP="00AE04B7">
            <w:pPr>
              <w:widowControl/>
              <w:spacing w:before="150" w:after="150"/>
              <w:jc w:val="center"/>
              <w:rPr>
                <w:rFonts w:ascii="Arial" w:eastAsia="宋体" w:hAnsi="Arial" w:cs="Arial"/>
                <w:color w:val="666666"/>
                <w:kern w:val="0"/>
                <w:sz w:val="18"/>
                <w:szCs w:val="18"/>
              </w:rPr>
            </w:pPr>
            <w:r w:rsidRPr="00AE04B7">
              <w:rPr>
                <w:rFonts w:ascii="Arial" w:eastAsia="宋体" w:hAnsi="Arial" w:cs="Arial"/>
                <w:color w:val="666666"/>
                <w:kern w:val="0"/>
                <w:sz w:val="18"/>
                <w:szCs w:val="18"/>
              </w:rPr>
              <w:t>长者</w:t>
            </w:r>
          </w:p>
        </w:tc>
        <w:tc>
          <w:tcPr>
            <w:tcW w:w="0" w:type="auto"/>
            <w:shd w:val="clear" w:color="auto" w:fill="FFFCED"/>
            <w:tcMar>
              <w:top w:w="60" w:type="dxa"/>
              <w:left w:w="45" w:type="dxa"/>
              <w:bottom w:w="60" w:type="dxa"/>
              <w:right w:w="45" w:type="dxa"/>
            </w:tcMar>
            <w:vAlign w:val="center"/>
            <w:hideMark/>
          </w:tcPr>
          <w:p w:rsidR="00AE04B7" w:rsidRPr="00AE04B7" w:rsidRDefault="00AE04B7" w:rsidP="00AE04B7">
            <w:pPr>
              <w:widowControl/>
              <w:spacing w:before="150" w:after="150"/>
              <w:jc w:val="center"/>
              <w:rPr>
                <w:rFonts w:ascii="Arial" w:eastAsia="宋体" w:hAnsi="Arial" w:cs="Arial"/>
                <w:color w:val="666666"/>
                <w:kern w:val="0"/>
                <w:sz w:val="18"/>
                <w:szCs w:val="18"/>
              </w:rPr>
            </w:pPr>
            <w:r w:rsidRPr="00AE04B7">
              <w:rPr>
                <w:rFonts w:ascii="Arial" w:eastAsia="宋体" w:hAnsi="Arial" w:cs="Arial"/>
                <w:color w:val="666666"/>
                <w:kern w:val="0"/>
                <w:sz w:val="18"/>
                <w:szCs w:val="18"/>
              </w:rPr>
              <w:t>青年</w:t>
            </w:r>
          </w:p>
        </w:tc>
      </w:tr>
      <w:tr w:rsidR="00AE04B7" w:rsidRPr="00AE04B7" w:rsidTr="00AE04B7">
        <w:trPr>
          <w:tblCellSpacing w:w="7" w:type="dxa"/>
        </w:trPr>
        <w:tc>
          <w:tcPr>
            <w:tcW w:w="0" w:type="auto"/>
            <w:shd w:val="clear" w:color="auto" w:fill="FFFFFF"/>
            <w:tcMar>
              <w:top w:w="60" w:type="dxa"/>
              <w:left w:w="45" w:type="dxa"/>
              <w:bottom w:w="60" w:type="dxa"/>
              <w:right w:w="45" w:type="dxa"/>
            </w:tcMar>
            <w:vAlign w:val="center"/>
            <w:hideMark/>
          </w:tcPr>
          <w:p w:rsidR="00AE04B7" w:rsidRPr="00AE04B7" w:rsidRDefault="00AE04B7" w:rsidP="00AE04B7">
            <w:pPr>
              <w:widowControl/>
              <w:spacing w:before="150" w:after="150"/>
              <w:jc w:val="center"/>
              <w:rPr>
                <w:rFonts w:ascii="Arial" w:eastAsia="宋体" w:hAnsi="Arial" w:cs="Arial"/>
                <w:color w:val="666666"/>
                <w:kern w:val="0"/>
                <w:sz w:val="18"/>
                <w:szCs w:val="18"/>
              </w:rPr>
            </w:pPr>
            <w:r w:rsidRPr="00AE04B7">
              <w:rPr>
                <w:rFonts w:ascii="Arial" w:eastAsia="宋体" w:hAnsi="Arial" w:cs="Arial"/>
                <w:color w:val="666666"/>
                <w:kern w:val="0"/>
                <w:sz w:val="18"/>
                <w:szCs w:val="18"/>
              </w:rPr>
              <w:t>5 days within 1 Month</w:t>
            </w:r>
          </w:p>
        </w:tc>
        <w:tc>
          <w:tcPr>
            <w:tcW w:w="0" w:type="auto"/>
            <w:shd w:val="clear" w:color="auto" w:fill="FFFFFF"/>
            <w:tcMar>
              <w:top w:w="60" w:type="dxa"/>
              <w:left w:w="45" w:type="dxa"/>
              <w:bottom w:w="60" w:type="dxa"/>
              <w:right w:w="45" w:type="dxa"/>
            </w:tcMar>
            <w:vAlign w:val="center"/>
            <w:hideMark/>
          </w:tcPr>
          <w:p w:rsidR="00AE04B7" w:rsidRPr="00AE04B7" w:rsidRDefault="00AE04B7" w:rsidP="00AE04B7">
            <w:pPr>
              <w:widowControl/>
              <w:spacing w:before="150" w:after="150"/>
              <w:jc w:val="center"/>
              <w:rPr>
                <w:rFonts w:ascii="Arial" w:eastAsia="宋体" w:hAnsi="Arial" w:cs="Arial"/>
                <w:color w:val="666666"/>
                <w:kern w:val="0"/>
                <w:sz w:val="18"/>
                <w:szCs w:val="18"/>
              </w:rPr>
            </w:pPr>
            <w:hyperlink r:id="rId6" w:tgtFrame="_blank" w:history="1">
              <w:r w:rsidRPr="00AE04B7">
                <w:rPr>
                  <w:rFonts w:ascii="Arial" w:eastAsia="宋体" w:hAnsi="Arial" w:cs="Arial"/>
                  <w:color w:val="175BA3"/>
                  <w:kern w:val="0"/>
                  <w:sz w:val="18"/>
                  <w:u w:val="single"/>
                </w:rPr>
                <w:t>180.00</w:t>
              </w:r>
            </w:hyperlink>
          </w:p>
        </w:tc>
        <w:tc>
          <w:tcPr>
            <w:tcW w:w="0" w:type="auto"/>
            <w:shd w:val="clear" w:color="auto" w:fill="FFFFFF"/>
            <w:tcMar>
              <w:top w:w="60" w:type="dxa"/>
              <w:left w:w="45" w:type="dxa"/>
              <w:bottom w:w="60" w:type="dxa"/>
              <w:right w:w="45" w:type="dxa"/>
            </w:tcMar>
            <w:vAlign w:val="center"/>
            <w:hideMark/>
          </w:tcPr>
          <w:p w:rsidR="00AE04B7" w:rsidRPr="00AE04B7" w:rsidRDefault="00AE04B7" w:rsidP="00AE04B7">
            <w:pPr>
              <w:widowControl/>
              <w:spacing w:before="150" w:after="150"/>
              <w:jc w:val="center"/>
              <w:rPr>
                <w:rFonts w:ascii="Arial" w:eastAsia="宋体" w:hAnsi="Arial" w:cs="Arial"/>
                <w:color w:val="666666"/>
                <w:kern w:val="0"/>
                <w:sz w:val="18"/>
                <w:szCs w:val="18"/>
              </w:rPr>
            </w:pPr>
            <w:hyperlink r:id="rId7" w:tgtFrame="_blank" w:history="1">
              <w:r w:rsidRPr="00AE04B7">
                <w:rPr>
                  <w:rFonts w:ascii="Arial" w:eastAsia="宋体" w:hAnsi="Arial" w:cs="Arial"/>
                  <w:color w:val="175BA3"/>
                  <w:kern w:val="0"/>
                  <w:sz w:val="18"/>
                  <w:u w:val="single"/>
                </w:rPr>
                <w:t>90.00</w:t>
              </w:r>
            </w:hyperlink>
          </w:p>
        </w:tc>
        <w:tc>
          <w:tcPr>
            <w:tcW w:w="0" w:type="auto"/>
            <w:shd w:val="clear" w:color="auto" w:fill="FFFFFF"/>
            <w:tcMar>
              <w:top w:w="60" w:type="dxa"/>
              <w:left w:w="45" w:type="dxa"/>
              <w:bottom w:w="60" w:type="dxa"/>
              <w:right w:w="45" w:type="dxa"/>
            </w:tcMar>
            <w:vAlign w:val="center"/>
            <w:hideMark/>
          </w:tcPr>
          <w:p w:rsidR="00AE04B7" w:rsidRPr="00AE04B7" w:rsidRDefault="00AE04B7" w:rsidP="00AE04B7">
            <w:pPr>
              <w:widowControl/>
              <w:spacing w:before="150" w:after="150"/>
              <w:jc w:val="center"/>
              <w:rPr>
                <w:rFonts w:ascii="Arial" w:eastAsia="宋体" w:hAnsi="Arial" w:cs="Arial"/>
                <w:color w:val="666666"/>
                <w:kern w:val="0"/>
                <w:sz w:val="18"/>
                <w:szCs w:val="18"/>
              </w:rPr>
            </w:pPr>
            <w:hyperlink r:id="rId8" w:tgtFrame="_blank" w:history="1">
              <w:r w:rsidRPr="00AE04B7">
                <w:rPr>
                  <w:rFonts w:ascii="Arial" w:eastAsia="宋体" w:hAnsi="Arial" w:cs="Arial"/>
                  <w:color w:val="175BA3"/>
                  <w:kern w:val="0"/>
                  <w:sz w:val="18"/>
                  <w:u w:val="single"/>
                </w:rPr>
                <w:t>144.00</w:t>
              </w:r>
            </w:hyperlink>
          </w:p>
        </w:tc>
        <w:tc>
          <w:tcPr>
            <w:tcW w:w="0" w:type="auto"/>
            <w:shd w:val="clear" w:color="auto" w:fill="FFFFFF"/>
            <w:tcMar>
              <w:top w:w="60" w:type="dxa"/>
              <w:left w:w="45" w:type="dxa"/>
              <w:bottom w:w="60" w:type="dxa"/>
              <w:right w:w="45" w:type="dxa"/>
            </w:tcMar>
            <w:vAlign w:val="center"/>
            <w:hideMark/>
          </w:tcPr>
          <w:p w:rsidR="00AE04B7" w:rsidRPr="00AE04B7" w:rsidRDefault="00AE04B7" w:rsidP="00AE04B7">
            <w:pPr>
              <w:widowControl/>
              <w:spacing w:before="150" w:after="150"/>
              <w:jc w:val="center"/>
              <w:rPr>
                <w:rFonts w:ascii="Arial" w:eastAsia="宋体" w:hAnsi="Arial" w:cs="Arial"/>
                <w:color w:val="666666"/>
                <w:kern w:val="0"/>
                <w:sz w:val="18"/>
                <w:szCs w:val="18"/>
              </w:rPr>
            </w:pPr>
            <w:hyperlink r:id="rId9" w:tgtFrame="_blank" w:history="1">
              <w:r w:rsidRPr="00AE04B7">
                <w:rPr>
                  <w:rFonts w:ascii="Arial" w:eastAsia="宋体" w:hAnsi="Arial" w:cs="Arial"/>
                  <w:color w:val="175BA3"/>
                  <w:kern w:val="0"/>
                  <w:sz w:val="18"/>
                  <w:u w:val="single"/>
                </w:rPr>
                <w:t>108.00</w:t>
              </w:r>
            </w:hyperlink>
          </w:p>
        </w:tc>
      </w:tr>
      <w:tr w:rsidR="00AE04B7" w:rsidRPr="00AE04B7" w:rsidTr="00AE04B7">
        <w:trPr>
          <w:tblCellSpacing w:w="7" w:type="dxa"/>
        </w:trPr>
        <w:tc>
          <w:tcPr>
            <w:tcW w:w="0" w:type="auto"/>
            <w:shd w:val="clear" w:color="auto" w:fill="FFFFFF"/>
            <w:tcMar>
              <w:top w:w="60" w:type="dxa"/>
              <w:left w:w="45" w:type="dxa"/>
              <w:bottom w:w="60" w:type="dxa"/>
              <w:right w:w="45" w:type="dxa"/>
            </w:tcMar>
            <w:vAlign w:val="center"/>
            <w:hideMark/>
          </w:tcPr>
          <w:p w:rsidR="00AE04B7" w:rsidRPr="00AE04B7" w:rsidRDefault="00AE04B7" w:rsidP="00AE04B7">
            <w:pPr>
              <w:widowControl/>
              <w:spacing w:before="150" w:after="150"/>
              <w:jc w:val="center"/>
              <w:rPr>
                <w:rFonts w:ascii="Arial" w:eastAsia="宋体" w:hAnsi="Arial" w:cs="Arial"/>
                <w:color w:val="666666"/>
                <w:kern w:val="0"/>
                <w:sz w:val="18"/>
                <w:szCs w:val="18"/>
              </w:rPr>
            </w:pPr>
            <w:r w:rsidRPr="00AE04B7">
              <w:rPr>
                <w:rFonts w:ascii="Arial" w:eastAsia="宋体" w:hAnsi="Arial" w:cs="Arial"/>
                <w:color w:val="666666"/>
                <w:kern w:val="0"/>
                <w:sz w:val="18"/>
                <w:szCs w:val="18"/>
              </w:rPr>
              <w:t>10 days within 1 Month</w:t>
            </w:r>
          </w:p>
        </w:tc>
        <w:tc>
          <w:tcPr>
            <w:tcW w:w="0" w:type="auto"/>
            <w:shd w:val="clear" w:color="auto" w:fill="FFFFFF"/>
            <w:tcMar>
              <w:top w:w="60" w:type="dxa"/>
              <w:left w:w="45" w:type="dxa"/>
              <w:bottom w:w="60" w:type="dxa"/>
              <w:right w:w="45" w:type="dxa"/>
            </w:tcMar>
            <w:vAlign w:val="center"/>
            <w:hideMark/>
          </w:tcPr>
          <w:p w:rsidR="00AE04B7" w:rsidRPr="00AE04B7" w:rsidRDefault="00AE04B7" w:rsidP="00AE04B7">
            <w:pPr>
              <w:widowControl/>
              <w:spacing w:before="150" w:after="150"/>
              <w:jc w:val="center"/>
              <w:rPr>
                <w:rFonts w:ascii="Arial" w:eastAsia="宋体" w:hAnsi="Arial" w:cs="Arial"/>
                <w:color w:val="666666"/>
                <w:kern w:val="0"/>
                <w:sz w:val="18"/>
                <w:szCs w:val="18"/>
              </w:rPr>
            </w:pPr>
            <w:hyperlink r:id="rId10" w:tgtFrame="_blank" w:history="1">
              <w:r w:rsidRPr="00AE04B7">
                <w:rPr>
                  <w:rFonts w:ascii="Arial" w:eastAsia="宋体" w:hAnsi="Arial" w:cs="Arial"/>
                  <w:color w:val="175BA3"/>
                  <w:kern w:val="0"/>
                  <w:sz w:val="18"/>
                  <w:u w:val="single"/>
                </w:rPr>
                <w:t>314.00</w:t>
              </w:r>
            </w:hyperlink>
          </w:p>
        </w:tc>
        <w:tc>
          <w:tcPr>
            <w:tcW w:w="0" w:type="auto"/>
            <w:shd w:val="clear" w:color="auto" w:fill="FFFFFF"/>
            <w:tcMar>
              <w:top w:w="60" w:type="dxa"/>
              <w:left w:w="45" w:type="dxa"/>
              <w:bottom w:w="60" w:type="dxa"/>
              <w:right w:w="45" w:type="dxa"/>
            </w:tcMar>
            <w:vAlign w:val="center"/>
            <w:hideMark/>
          </w:tcPr>
          <w:p w:rsidR="00AE04B7" w:rsidRPr="00AE04B7" w:rsidRDefault="00AE04B7" w:rsidP="00AE04B7">
            <w:pPr>
              <w:widowControl/>
              <w:spacing w:before="150" w:after="150"/>
              <w:jc w:val="center"/>
              <w:rPr>
                <w:rFonts w:ascii="Arial" w:eastAsia="宋体" w:hAnsi="Arial" w:cs="Arial"/>
                <w:color w:val="666666"/>
                <w:kern w:val="0"/>
                <w:sz w:val="18"/>
                <w:szCs w:val="18"/>
              </w:rPr>
            </w:pPr>
            <w:hyperlink r:id="rId11" w:tgtFrame="_blank" w:history="1">
              <w:r w:rsidRPr="00AE04B7">
                <w:rPr>
                  <w:rFonts w:ascii="Arial" w:eastAsia="宋体" w:hAnsi="Arial" w:cs="Arial"/>
                  <w:color w:val="175BA3"/>
                  <w:kern w:val="0"/>
                  <w:sz w:val="18"/>
                  <w:u w:val="single"/>
                </w:rPr>
                <w:t>157.00</w:t>
              </w:r>
            </w:hyperlink>
          </w:p>
        </w:tc>
        <w:tc>
          <w:tcPr>
            <w:tcW w:w="0" w:type="auto"/>
            <w:shd w:val="clear" w:color="auto" w:fill="FFFFFF"/>
            <w:tcMar>
              <w:top w:w="60" w:type="dxa"/>
              <w:left w:w="45" w:type="dxa"/>
              <w:bottom w:w="60" w:type="dxa"/>
              <w:right w:w="45" w:type="dxa"/>
            </w:tcMar>
            <w:vAlign w:val="center"/>
            <w:hideMark/>
          </w:tcPr>
          <w:p w:rsidR="00AE04B7" w:rsidRPr="00AE04B7" w:rsidRDefault="00AE04B7" w:rsidP="00AE04B7">
            <w:pPr>
              <w:widowControl/>
              <w:spacing w:before="150" w:after="150"/>
              <w:jc w:val="center"/>
              <w:rPr>
                <w:rFonts w:ascii="Arial" w:eastAsia="宋体" w:hAnsi="Arial" w:cs="Arial"/>
                <w:color w:val="666666"/>
                <w:kern w:val="0"/>
                <w:sz w:val="18"/>
                <w:szCs w:val="18"/>
              </w:rPr>
            </w:pPr>
            <w:hyperlink r:id="rId12" w:tgtFrame="_blank" w:history="1">
              <w:r w:rsidRPr="00AE04B7">
                <w:rPr>
                  <w:rFonts w:ascii="Arial" w:eastAsia="宋体" w:hAnsi="Arial" w:cs="Arial"/>
                  <w:color w:val="175BA3"/>
                  <w:kern w:val="0"/>
                  <w:sz w:val="18"/>
                  <w:u w:val="single"/>
                </w:rPr>
                <w:t>252.00</w:t>
              </w:r>
            </w:hyperlink>
          </w:p>
        </w:tc>
        <w:tc>
          <w:tcPr>
            <w:tcW w:w="0" w:type="auto"/>
            <w:shd w:val="clear" w:color="auto" w:fill="FFFFFF"/>
            <w:tcMar>
              <w:top w:w="60" w:type="dxa"/>
              <w:left w:w="45" w:type="dxa"/>
              <w:bottom w:w="60" w:type="dxa"/>
              <w:right w:w="45" w:type="dxa"/>
            </w:tcMar>
            <w:vAlign w:val="center"/>
            <w:hideMark/>
          </w:tcPr>
          <w:p w:rsidR="00AE04B7" w:rsidRPr="00AE04B7" w:rsidRDefault="00AE04B7" w:rsidP="00AE04B7">
            <w:pPr>
              <w:widowControl/>
              <w:spacing w:before="150" w:after="150"/>
              <w:jc w:val="center"/>
              <w:rPr>
                <w:rFonts w:ascii="Arial" w:eastAsia="宋体" w:hAnsi="Arial" w:cs="Arial"/>
                <w:color w:val="666666"/>
                <w:kern w:val="0"/>
                <w:sz w:val="18"/>
                <w:szCs w:val="18"/>
              </w:rPr>
            </w:pPr>
            <w:hyperlink r:id="rId13" w:tgtFrame="_blank" w:history="1">
              <w:r w:rsidRPr="00AE04B7">
                <w:rPr>
                  <w:rFonts w:ascii="Arial" w:eastAsia="宋体" w:hAnsi="Arial" w:cs="Arial"/>
                  <w:color w:val="175BA3"/>
                  <w:kern w:val="0"/>
                  <w:sz w:val="18"/>
                  <w:u w:val="single"/>
                </w:rPr>
                <w:t>188.00</w:t>
              </w:r>
            </w:hyperlink>
          </w:p>
        </w:tc>
      </w:tr>
      <w:tr w:rsidR="00AE04B7" w:rsidRPr="00AE04B7" w:rsidTr="00AE04B7">
        <w:trPr>
          <w:tblCellSpacing w:w="7" w:type="dxa"/>
        </w:trPr>
        <w:tc>
          <w:tcPr>
            <w:tcW w:w="0" w:type="auto"/>
            <w:shd w:val="clear" w:color="auto" w:fill="FFFFFF"/>
            <w:tcMar>
              <w:top w:w="60" w:type="dxa"/>
              <w:left w:w="45" w:type="dxa"/>
              <w:bottom w:w="60" w:type="dxa"/>
              <w:right w:w="45" w:type="dxa"/>
            </w:tcMar>
            <w:vAlign w:val="center"/>
            <w:hideMark/>
          </w:tcPr>
          <w:p w:rsidR="00AE04B7" w:rsidRPr="00AE04B7" w:rsidRDefault="00AE04B7" w:rsidP="00AE04B7">
            <w:pPr>
              <w:widowControl/>
              <w:spacing w:before="150" w:after="150"/>
              <w:jc w:val="center"/>
              <w:rPr>
                <w:rFonts w:ascii="Arial" w:eastAsia="宋体" w:hAnsi="Arial" w:cs="Arial"/>
                <w:color w:val="666666"/>
                <w:kern w:val="0"/>
                <w:sz w:val="18"/>
                <w:szCs w:val="18"/>
              </w:rPr>
            </w:pPr>
            <w:r w:rsidRPr="00AE04B7">
              <w:rPr>
                <w:rFonts w:ascii="Arial" w:eastAsia="宋体" w:hAnsi="Arial" w:cs="Arial"/>
                <w:color w:val="666666"/>
                <w:kern w:val="0"/>
                <w:sz w:val="18"/>
                <w:szCs w:val="18"/>
              </w:rPr>
              <w:t>15 days within 1 Month</w:t>
            </w:r>
          </w:p>
        </w:tc>
        <w:tc>
          <w:tcPr>
            <w:tcW w:w="0" w:type="auto"/>
            <w:shd w:val="clear" w:color="auto" w:fill="FFFFFF"/>
            <w:tcMar>
              <w:top w:w="60" w:type="dxa"/>
              <w:left w:w="45" w:type="dxa"/>
              <w:bottom w:w="60" w:type="dxa"/>
              <w:right w:w="45" w:type="dxa"/>
            </w:tcMar>
            <w:vAlign w:val="center"/>
            <w:hideMark/>
          </w:tcPr>
          <w:p w:rsidR="00AE04B7" w:rsidRPr="00AE04B7" w:rsidRDefault="00AE04B7" w:rsidP="00AE04B7">
            <w:pPr>
              <w:widowControl/>
              <w:spacing w:before="150" w:after="150"/>
              <w:jc w:val="center"/>
              <w:rPr>
                <w:rFonts w:ascii="Arial" w:eastAsia="宋体" w:hAnsi="Arial" w:cs="Arial"/>
                <w:color w:val="666666"/>
                <w:kern w:val="0"/>
                <w:sz w:val="18"/>
                <w:szCs w:val="18"/>
              </w:rPr>
            </w:pPr>
            <w:hyperlink r:id="rId14" w:tgtFrame="_blank" w:history="1">
              <w:r w:rsidRPr="00AE04B7">
                <w:rPr>
                  <w:rFonts w:ascii="Arial" w:eastAsia="宋体" w:hAnsi="Arial" w:cs="Arial"/>
                  <w:color w:val="175BA3"/>
                  <w:kern w:val="0"/>
                  <w:sz w:val="18"/>
                  <w:u w:val="single"/>
                </w:rPr>
                <w:t>378.00</w:t>
              </w:r>
            </w:hyperlink>
          </w:p>
        </w:tc>
        <w:tc>
          <w:tcPr>
            <w:tcW w:w="0" w:type="auto"/>
            <w:shd w:val="clear" w:color="auto" w:fill="FFFFFF"/>
            <w:tcMar>
              <w:top w:w="60" w:type="dxa"/>
              <w:left w:w="45" w:type="dxa"/>
              <w:bottom w:w="60" w:type="dxa"/>
              <w:right w:w="45" w:type="dxa"/>
            </w:tcMar>
            <w:vAlign w:val="center"/>
            <w:hideMark/>
          </w:tcPr>
          <w:p w:rsidR="00AE04B7" w:rsidRPr="00AE04B7" w:rsidRDefault="00AE04B7" w:rsidP="00AE04B7">
            <w:pPr>
              <w:widowControl/>
              <w:spacing w:before="150" w:after="150"/>
              <w:jc w:val="center"/>
              <w:rPr>
                <w:rFonts w:ascii="Arial" w:eastAsia="宋体" w:hAnsi="Arial" w:cs="Arial"/>
                <w:color w:val="666666"/>
                <w:kern w:val="0"/>
                <w:sz w:val="18"/>
                <w:szCs w:val="18"/>
              </w:rPr>
            </w:pPr>
            <w:hyperlink r:id="rId15" w:tgtFrame="_blank" w:history="1">
              <w:r w:rsidRPr="00AE04B7">
                <w:rPr>
                  <w:rFonts w:ascii="Arial" w:eastAsia="宋体" w:hAnsi="Arial" w:cs="Arial"/>
                  <w:color w:val="175BA3"/>
                  <w:kern w:val="0"/>
                  <w:sz w:val="18"/>
                  <w:u w:val="single"/>
                </w:rPr>
                <w:t>189.00</w:t>
              </w:r>
            </w:hyperlink>
          </w:p>
        </w:tc>
        <w:tc>
          <w:tcPr>
            <w:tcW w:w="0" w:type="auto"/>
            <w:shd w:val="clear" w:color="auto" w:fill="FFFFFF"/>
            <w:tcMar>
              <w:top w:w="60" w:type="dxa"/>
              <w:left w:w="45" w:type="dxa"/>
              <w:bottom w:w="60" w:type="dxa"/>
              <w:right w:w="45" w:type="dxa"/>
            </w:tcMar>
            <w:vAlign w:val="center"/>
            <w:hideMark/>
          </w:tcPr>
          <w:p w:rsidR="00AE04B7" w:rsidRPr="00AE04B7" w:rsidRDefault="00AE04B7" w:rsidP="00AE04B7">
            <w:pPr>
              <w:widowControl/>
              <w:spacing w:before="150" w:after="150"/>
              <w:jc w:val="center"/>
              <w:rPr>
                <w:rFonts w:ascii="Arial" w:eastAsia="宋体" w:hAnsi="Arial" w:cs="Arial"/>
                <w:color w:val="666666"/>
                <w:kern w:val="0"/>
                <w:sz w:val="18"/>
                <w:szCs w:val="18"/>
              </w:rPr>
            </w:pPr>
            <w:hyperlink r:id="rId16" w:tgtFrame="_blank" w:history="1">
              <w:r w:rsidRPr="00AE04B7">
                <w:rPr>
                  <w:rFonts w:ascii="Arial" w:eastAsia="宋体" w:hAnsi="Arial" w:cs="Arial"/>
                  <w:color w:val="175BA3"/>
                  <w:kern w:val="0"/>
                  <w:sz w:val="18"/>
                  <w:u w:val="single"/>
                </w:rPr>
                <w:t>303.00</w:t>
              </w:r>
            </w:hyperlink>
          </w:p>
        </w:tc>
        <w:tc>
          <w:tcPr>
            <w:tcW w:w="0" w:type="auto"/>
            <w:shd w:val="clear" w:color="auto" w:fill="FFFFFF"/>
            <w:tcMar>
              <w:top w:w="60" w:type="dxa"/>
              <w:left w:w="45" w:type="dxa"/>
              <w:bottom w:w="60" w:type="dxa"/>
              <w:right w:w="45" w:type="dxa"/>
            </w:tcMar>
            <w:vAlign w:val="center"/>
            <w:hideMark/>
          </w:tcPr>
          <w:p w:rsidR="00AE04B7" w:rsidRPr="00AE04B7" w:rsidRDefault="00AE04B7" w:rsidP="00AE04B7">
            <w:pPr>
              <w:widowControl/>
              <w:spacing w:before="150" w:after="150"/>
              <w:jc w:val="center"/>
              <w:rPr>
                <w:rFonts w:ascii="Arial" w:eastAsia="宋体" w:hAnsi="Arial" w:cs="Arial"/>
                <w:color w:val="666666"/>
                <w:kern w:val="0"/>
                <w:sz w:val="18"/>
                <w:szCs w:val="18"/>
              </w:rPr>
            </w:pPr>
            <w:hyperlink r:id="rId17" w:tgtFrame="_blank" w:history="1">
              <w:r w:rsidRPr="00AE04B7">
                <w:rPr>
                  <w:rFonts w:ascii="Arial" w:eastAsia="宋体" w:hAnsi="Arial" w:cs="Arial"/>
                  <w:color w:val="175BA3"/>
                  <w:kern w:val="0"/>
                  <w:sz w:val="18"/>
                  <w:u w:val="single"/>
                </w:rPr>
                <w:t>227.00</w:t>
              </w:r>
            </w:hyperlink>
          </w:p>
        </w:tc>
      </w:tr>
    </w:tbl>
    <w:p w:rsidR="00AE04B7" w:rsidRDefault="00AE04B7">
      <w:r>
        <w:rPr>
          <w:rStyle w:val="a5"/>
          <w:rFonts w:ascii="Arial" w:hAnsi="Arial" w:cs="Arial"/>
          <w:color w:val="FF0000"/>
          <w:sz w:val="18"/>
          <w:szCs w:val="18"/>
        </w:rPr>
        <w:t>巴尔干火车通票购买及使用规定</w:t>
      </w:r>
      <w:r>
        <w:rPr>
          <w:rStyle w:val="a5"/>
          <w:rFonts w:ascii="Arial" w:hAnsi="Arial" w:cs="Arial"/>
          <w:color w:val="FF0000"/>
          <w:sz w:val="18"/>
          <w:szCs w:val="18"/>
        </w:rPr>
        <w:t>-Balkan Pass</w:t>
      </w:r>
      <w:r>
        <w:rPr>
          <w:rFonts w:ascii="Arial" w:hAnsi="Arial" w:cs="Arial"/>
          <w:color w:val="666666"/>
          <w:sz w:val="18"/>
          <w:szCs w:val="18"/>
        </w:rPr>
        <w:br/>
        <w:t xml:space="preserve">1. </w:t>
      </w:r>
      <w:r>
        <w:rPr>
          <w:rFonts w:ascii="Arial" w:hAnsi="Arial" w:cs="Arial"/>
          <w:color w:val="666666"/>
          <w:sz w:val="18"/>
          <w:szCs w:val="18"/>
        </w:rPr>
        <w:t>欧元报价，人民币支付，汇率将参考相关银行牌价，以出票之日我机构（含本网站）告知为准；</w:t>
      </w:r>
      <w:r>
        <w:rPr>
          <w:rFonts w:ascii="Arial" w:hAnsi="Arial" w:cs="Arial"/>
          <w:color w:val="666666"/>
          <w:sz w:val="18"/>
          <w:szCs w:val="18"/>
        </w:rPr>
        <w:br/>
        <w:t xml:space="preserve">2. </w:t>
      </w:r>
      <w:r>
        <w:rPr>
          <w:rFonts w:ascii="Arial" w:hAnsi="Arial" w:cs="Arial"/>
          <w:color w:val="666666"/>
          <w:sz w:val="18"/>
          <w:szCs w:val="18"/>
        </w:rPr>
        <w:t>年龄限制：年龄限制：</w:t>
      </w:r>
      <w:r>
        <w:rPr>
          <w:rFonts w:ascii="Arial" w:hAnsi="Arial" w:cs="Arial"/>
          <w:color w:val="666666"/>
          <w:sz w:val="18"/>
          <w:szCs w:val="18"/>
        </w:rPr>
        <w:t>4</w:t>
      </w:r>
      <w:r>
        <w:rPr>
          <w:rFonts w:ascii="Arial" w:hAnsi="Arial" w:cs="Arial"/>
          <w:color w:val="666666"/>
          <w:sz w:val="18"/>
          <w:szCs w:val="18"/>
        </w:rPr>
        <w:t>岁以下不占座儿童免费；</w:t>
      </w:r>
      <w:r>
        <w:rPr>
          <w:rFonts w:ascii="Arial" w:hAnsi="Arial" w:cs="Arial"/>
          <w:color w:val="666666"/>
          <w:sz w:val="18"/>
          <w:szCs w:val="18"/>
        </w:rPr>
        <w:t>4-12</w:t>
      </w:r>
      <w:r>
        <w:rPr>
          <w:rFonts w:ascii="Arial" w:hAnsi="Arial" w:cs="Arial"/>
          <w:color w:val="666666"/>
          <w:sz w:val="18"/>
          <w:szCs w:val="18"/>
        </w:rPr>
        <w:t>岁儿童享受半价优惠；</w:t>
      </w:r>
      <w:r>
        <w:rPr>
          <w:rFonts w:ascii="Arial" w:hAnsi="Arial" w:cs="Arial"/>
          <w:color w:val="666666"/>
          <w:sz w:val="18"/>
          <w:szCs w:val="18"/>
        </w:rPr>
        <w:t>12-26</w:t>
      </w:r>
      <w:r>
        <w:rPr>
          <w:rFonts w:ascii="Arial" w:hAnsi="Arial" w:cs="Arial"/>
          <w:color w:val="666666"/>
          <w:sz w:val="18"/>
          <w:szCs w:val="18"/>
        </w:rPr>
        <w:t>岁青年，</w:t>
      </w:r>
      <w:r>
        <w:rPr>
          <w:rFonts w:ascii="Arial" w:hAnsi="Arial" w:cs="Arial"/>
          <w:color w:val="666666"/>
          <w:sz w:val="18"/>
          <w:szCs w:val="18"/>
        </w:rPr>
        <w:t>60</w:t>
      </w:r>
      <w:r>
        <w:rPr>
          <w:rFonts w:ascii="Arial" w:hAnsi="Arial" w:cs="Arial"/>
          <w:color w:val="666666"/>
          <w:sz w:val="18"/>
          <w:szCs w:val="18"/>
        </w:rPr>
        <w:t>岁以上长者可购买既有的相对应舱位的客票；</w:t>
      </w:r>
      <w:r>
        <w:rPr>
          <w:rFonts w:ascii="Arial" w:hAnsi="Arial" w:cs="Arial"/>
          <w:color w:val="666666"/>
          <w:sz w:val="18"/>
          <w:szCs w:val="18"/>
        </w:rPr>
        <w:br/>
        <w:t>3. 19</w:t>
      </w:r>
      <w:r>
        <w:rPr>
          <w:rFonts w:ascii="Arial" w:hAnsi="Arial" w:cs="Arial"/>
          <w:color w:val="666666"/>
          <w:sz w:val="18"/>
          <w:szCs w:val="18"/>
        </w:rPr>
        <w:t>点规则：如持有活期通票乘坐</w:t>
      </w:r>
      <w:r>
        <w:rPr>
          <w:rFonts w:ascii="Arial" w:hAnsi="Arial" w:cs="Arial"/>
          <w:color w:val="666666"/>
          <w:sz w:val="18"/>
          <w:szCs w:val="18"/>
        </w:rPr>
        <w:t>19</w:t>
      </w:r>
      <w:r>
        <w:rPr>
          <w:rFonts w:ascii="Arial" w:hAnsi="Arial" w:cs="Arial"/>
          <w:color w:val="666666"/>
          <w:sz w:val="18"/>
          <w:szCs w:val="18"/>
        </w:rPr>
        <w:t>点以后出发的直达过夜火车，在通票日期栏内填写第二天的日期且第二天必须在有效期内，第二天可继续乘坐火车；如持连续通票乘坐</w:t>
      </w:r>
      <w:r>
        <w:rPr>
          <w:rFonts w:ascii="Arial" w:hAnsi="Arial" w:cs="Arial"/>
          <w:color w:val="666666"/>
          <w:sz w:val="18"/>
          <w:szCs w:val="18"/>
        </w:rPr>
        <w:t>19</w:t>
      </w:r>
      <w:r>
        <w:rPr>
          <w:rFonts w:ascii="Arial" w:hAnsi="Arial" w:cs="Arial"/>
          <w:color w:val="666666"/>
          <w:sz w:val="18"/>
          <w:szCs w:val="18"/>
        </w:rPr>
        <w:t>点以后出发的直达过夜火车，第二天必须要有效期内；</w:t>
      </w:r>
      <w:r>
        <w:rPr>
          <w:rFonts w:ascii="Arial" w:hAnsi="Arial" w:cs="Arial"/>
          <w:color w:val="666666"/>
          <w:sz w:val="18"/>
          <w:szCs w:val="18"/>
        </w:rPr>
        <w:br/>
        <w:t xml:space="preserve">4. </w:t>
      </w:r>
      <w:r>
        <w:rPr>
          <w:rFonts w:ascii="Arial" w:hAnsi="Arial" w:cs="Arial"/>
          <w:color w:val="666666"/>
          <w:sz w:val="18"/>
          <w:szCs w:val="18"/>
        </w:rPr>
        <w:t>巴尔干火车通票持有者可以享受通票覆盖国家提供的相关各类优惠旅游产品；</w:t>
      </w:r>
      <w:r>
        <w:rPr>
          <w:rFonts w:ascii="Arial" w:hAnsi="Arial" w:cs="Arial"/>
          <w:color w:val="666666"/>
          <w:sz w:val="18"/>
          <w:szCs w:val="18"/>
        </w:rPr>
        <w:br/>
        <w:t xml:space="preserve">5. </w:t>
      </w:r>
      <w:r>
        <w:rPr>
          <w:rFonts w:ascii="Arial" w:hAnsi="Arial" w:cs="Arial"/>
          <w:color w:val="666666"/>
          <w:sz w:val="18"/>
          <w:szCs w:val="18"/>
        </w:rPr>
        <w:t>完全未使用的通票扣除票面</w:t>
      </w:r>
      <w:r>
        <w:rPr>
          <w:rFonts w:ascii="Arial" w:hAnsi="Arial" w:cs="Arial"/>
          <w:color w:val="666666"/>
          <w:sz w:val="18"/>
          <w:szCs w:val="18"/>
        </w:rPr>
        <w:t>15%</w:t>
      </w:r>
      <w:r>
        <w:rPr>
          <w:rFonts w:ascii="Arial" w:hAnsi="Arial" w:cs="Arial"/>
          <w:color w:val="666666"/>
          <w:sz w:val="18"/>
          <w:szCs w:val="18"/>
        </w:rPr>
        <w:t>退票费后办理退票，每人每张票另加收￥</w:t>
      </w:r>
      <w:r>
        <w:rPr>
          <w:rFonts w:ascii="Arial" w:hAnsi="Arial" w:cs="Arial"/>
          <w:color w:val="666666"/>
          <w:sz w:val="18"/>
          <w:szCs w:val="18"/>
        </w:rPr>
        <w:t>50</w:t>
      </w:r>
      <w:r>
        <w:rPr>
          <w:rFonts w:ascii="Arial" w:hAnsi="Arial" w:cs="Arial"/>
          <w:color w:val="666666"/>
          <w:sz w:val="18"/>
          <w:szCs w:val="18"/>
        </w:rPr>
        <w:t>退票费，如客票部分使用、损毁、丢失、被偷均不可退票；相关购票、退票、改票等事宜，请以出票机构最终告知为准；</w:t>
      </w:r>
      <w:r>
        <w:rPr>
          <w:rFonts w:ascii="Arial" w:hAnsi="Arial" w:cs="Arial"/>
          <w:color w:val="666666"/>
          <w:sz w:val="18"/>
          <w:szCs w:val="18"/>
        </w:rPr>
        <w:br/>
        <w:t xml:space="preserve">6. </w:t>
      </w:r>
      <w:r>
        <w:rPr>
          <w:rFonts w:ascii="Arial" w:hAnsi="Arial" w:cs="Arial"/>
          <w:color w:val="666666"/>
          <w:sz w:val="18"/>
          <w:szCs w:val="18"/>
        </w:rPr>
        <w:t>此报价为最终价格，购票时需另外支付</w:t>
      </w:r>
      <w:r>
        <w:rPr>
          <w:rFonts w:ascii="Arial" w:hAnsi="Arial" w:cs="Arial"/>
          <w:color w:val="666666"/>
          <w:sz w:val="18"/>
          <w:szCs w:val="18"/>
        </w:rPr>
        <w:t>4</w:t>
      </w:r>
      <w:r>
        <w:rPr>
          <w:rFonts w:ascii="Arial" w:hAnsi="Arial" w:cs="Arial"/>
          <w:color w:val="666666"/>
          <w:sz w:val="18"/>
          <w:szCs w:val="18"/>
        </w:rPr>
        <w:t>欧元</w:t>
      </w:r>
      <w:r>
        <w:rPr>
          <w:rFonts w:ascii="Arial" w:hAnsi="Arial" w:cs="Arial"/>
          <w:color w:val="666666"/>
          <w:sz w:val="18"/>
          <w:szCs w:val="18"/>
        </w:rPr>
        <w:t>/</w:t>
      </w:r>
      <w:r>
        <w:rPr>
          <w:rFonts w:ascii="Arial" w:hAnsi="Arial" w:cs="Arial"/>
          <w:color w:val="666666"/>
          <w:sz w:val="18"/>
          <w:szCs w:val="18"/>
        </w:rPr>
        <w:t>人</w:t>
      </w:r>
      <w:r>
        <w:rPr>
          <w:rFonts w:ascii="Arial" w:hAnsi="Arial" w:cs="Arial"/>
          <w:color w:val="666666"/>
          <w:sz w:val="18"/>
          <w:szCs w:val="18"/>
        </w:rPr>
        <w:t>/</w:t>
      </w:r>
      <w:r>
        <w:rPr>
          <w:rFonts w:ascii="Arial" w:hAnsi="Arial" w:cs="Arial"/>
          <w:color w:val="666666"/>
          <w:sz w:val="18"/>
          <w:szCs w:val="18"/>
        </w:rPr>
        <w:t>张出票费；</w:t>
      </w:r>
    </w:p>
    <w:sectPr w:rsidR="00AE04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3EA" w:rsidRDefault="004563EA" w:rsidP="00AE04B7">
      <w:r>
        <w:separator/>
      </w:r>
    </w:p>
  </w:endnote>
  <w:endnote w:type="continuationSeparator" w:id="1">
    <w:p w:rsidR="004563EA" w:rsidRDefault="004563EA" w:rsidP="00AE04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3EA" w:rsidRDefault="004563EA" w:rsidP="00AE04B7">
      <w:r>
        <w:separator/>
      </w:r>
    </w:p>
  </w:footnote>
  <w:footnote w:type="continuationSeparator" w:id="1">
    <w:p w:rsidR="004563EA" w:rsidRDefault="004563EA" w:rsidP="00AE04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04B7"/>
    <w:rsid w:val="004563EA"/>
    <w:rsid w:val="00AE04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04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04B7"/>
    <w:rPr>
      <w:sz w:val="18"/>
      <w:szCs w:val="18"/>
    </w:rPr>
  </w:style>
  <w:style w:type="paragraph" w:styleId="a4">
    <w:name w:val="footer"/>
    <w:basedOn w:val="a"/>
    <w:link w:val="Char0"/>
    <w:uiPriority w:val="99"/>
    <w:semiHidden/>
    <w:unhideWhenUsed/>
    <w:rsid w:val="00AE04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04B7"/>
    <w:rPr>
      <w:sz w:val="18"/>
      <w:szCs w:val="18"/>
    </w:rPr>
  </w:style>
  <w:style w:type="character" w:styleId="a5">
    <w:name w:val="Strong"/>
    <w:basedOn w:val="a0"/>
    <w:uiPriority w:val="22"/>
    <w:qFormat/>
    <w:rsid w:val="00AE04B7"/>
    <w:rPr>
      <w:b/>
      <w:bCs/>
    </w:rPr>
  </w:style>
  <w:style w:type="character" w:styleId="a6">
    <w:name w:val="Hyperlink"/>
    <w:basedOn w:val="a0"/>
    <w:uiPriority w:val="99"/>
    <w:semiHidden/>
    <w:unhideWhenUsed/>
    <w:rsid w:val="00AE04B7"/>
    <w:rPr>
      <w:strike w:val="0"/>
      <w:dstrike w:val="0"/>
      <w:color w:val="666666"/>
      <w:u w:val="none"/>
      <w:effect w:val="none"/>
    </w:rPr>
  </w:style>
</w:styles>
</file>

<file path=word/webSettings.xml><?xml version="1.0" encoding="utf-8"?>
<w:webSettings xmlns:r="http://schemas.openxmlformats.org/officeDocument/2006/relationships" xmlns:w="http://schemas.openxmlformats.org/wordprocessingml/2006/main">
  <w:divs>
    <w:div w:id="1231311825">
      <w:bodyDiv w:val="1"/>
      <w:marLeft w:val="0"/>
      <w:marRight w:val="0"/>
      <w:marTop w:val="0"/>
      <w:marBottom w:val="0"/>
      <w:divBdr>
        <w:top w:val="none" w:sz="0" w:space="0" w:color="auto"/>
        <w:left w:val="none" w:sz="0" w:space="0" w:color="auto"/>
        <w:bottom w:val="none" w:sz="0" w:space="0" w:color="auto"/>
        <w:right w:val="none" w:sz="0" w:space="0" w:color="auto"/>
      </w:divBdr>
      <w:divsChild>
        <w:div w:id="1773430900">
          <w:marLeft w:val="0"/>
          <w:marRight w:val="0"/>
          <w:marTop w:val="0"/>
          <w:marBottom w:val="0"/>
          <w:divBdr>
            <w:top w:val="none" w:sz="0" w:space="0" w:color="auto"/>
            <w:left w:val="none" w:sz="0" w:space="0" w:color="auto"/>
            <w:bottom w:val="none" w:sz="0" w:space="0" w:color="auto"/>
            <w:right w:val="none" w:sz="0" w:space="0" w:color="auto"/>
          </w:divBdr>
          <w:divsChild>
            <w:div w:id="429131068">
              <w:marLeft w:val="0"/>
              <w:marRight w:val="0"/>
              <w:marTop w:val="0"/>
              <w:marBottom w:val="0"/>
              <w:divBdr>
                <w:top w:val="none" w:sz="0" w:space="0" w:color="auto"/>
                <w:left w:val="none" w:sz="0" w:space="0" w:color="auto"/>
                <w:bottom w:val="none" w:sz="0" w:space="0" w:color="auto"/>
                <w:right w:val="none" w:sz="0" w:space="0" w:color="auto"/>
              </w:divBdr>
              <w:divsChild>
                <w:div w:id="2013603376">
                  <w:marLeft w:val="0"/>
                  <w:marRight w:val="0"/>
                  <w:marTop w:val="0"/>
                  <w:marBottom w:val="0"/>
                  <w:divBdr>
                    <w:top w:val="none" w:sz="0" w:space="0" w:color="auto"/>
                    <w:left w:val="none" w:sz="0" w:space="0" w:color="auto"/>
                    <w:bottom w:val="none" w:sz="0" w:space="0" w:color="auto"/>
                    <w:right w:val="none" w:sz="0" w:space="0" w:color="auto"/>
                  </w:divBdr>
                  <w:divsChild>
                    <w:div w:id="283073796">
                      <w:marLeft w:val="0"/>
                      <w:marRight w:val="0"/>
                      <w:marTop w:val="0"/>
                      <w:marBottom w:val="0"/>
                      <w:divBdr>
                        <w:top w:val="single" w:sz="12" w:space="0" w:color="BC181A"/>
                        <w:left w:val="single" w:sz="6" w:space="0" w:color="CCCCCC"/>
                        <w:bottom w:val="single" w:sz="6" w:space="0" w:color="CCCCCC"/>
                        <w:right w:val="single" w:sz="6" w:space="0" w:color="CCCCCC"/>
                      </w:divBdr>
                      <w:divsChild>
                        <w:div w:id="1208494183">
                          <w:marLeft w:val="0"/>
                          <w:marRight w:val="0"/>
                          <w:marTop w:val="0"/>
                          <w:marBottom w:val="0"/>
                          <w:divBdr>
                            <w:top w:val="none" w:sz="0" w:space="0" w:color="auto"/>
                            <w:left w:val="none" w:sz="0" w:space="0" w:color="auto"/>
                            <w:bottom w:val="none" w:sz="0" w:space="0" w:color="auto"/>
                            <w:right w:val="none" w:sz="0" w:space="0" w:color="auto"/>
                          </w:divBdr>
                          <w:divsChild>
                            <w:div w:id="5266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rail.cn/booking/pass_passenger.aspx?type=senior&amp;pid=53309" TargetMode="External"/><Relationship Id="rId13" Type="http://schemas.openxmlformats.org/officeDocument/2006/relationships/hyperlink" Target="http://www.europerail.cn/booking/pass_passenger.aspx?type=youth&amp;pid=5331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uroperail.cn/booking/pass_passenger.aspx?type=child&amp;pid=53308" TargetMode="External"/><Relationship Id="rId12" Type="http://schemas.openxmlformats.org/officeDocument/2006/relationships/hyperlink" Target="http://www.europerail.cn/booking/pass_passenger.aspx?type=senior&amp;pid=53313" TargetMode="External"/><Relationship Id="rId17" Type="http://schemas.openxmlformats.org/officeDocument/2006/relationships/hyperlink" Target="http://www.europerail.cn/booking/pass_passenger.aspx?type=youth&amp;pid=53318" TargetMode="External"/><Relationship Id="rId2" Type="http://schemas.openxmlformats.org/officeDocument/2006/relationships/settings" Target="settings.xml"/><Relationship Id="rId16" Type="http://schemas.openxmlformats.org/officeDocument/2006/relationships/hyperlink" Target="http://www.europerail.cn/booking/pass_passenger.aspx?type=senior&amp;pid=53317" TargetMode="External"/><Relationship Id="rId1" Type="http://schemas.openxmlformats.org/officeDocument/2006/relationships/styles" Target="styles.xml"/><Relationship Id="rId6" Type="http://schemas.openxmlformats.org/officeDocument/2006/relationships/hyperlink" Target="http://www.europerail.cn/booking/pass_passenger.aspx?type=adult&amp;pid=53307" TargetMode="External"/><Relationship Id="rId11" Type="http://schemas.openxmlformats.org/officeDocument/2006/relationships/hyperlink" Target="http://www.europerail.cn/booking/pass_passenger.aspx?type=child&amp;pid=53312" TargetMode="External"/><Relationship Id="rId5" Type="http://schemas.openxmlformats.org/officeDocument/2006/relationships/endnotes" Target="endnotes.xml"/><Relationship Id="rId15" Type="http://schemas.openxmlformats.org/officeDocument/2006/relationships/hyperlink" Target="http://www.europerail.cn/booking/pass_passenger.aspx?type=child&amp;pid=53316" TargetMode="External"/><Relationship Id="rId10" Type="http://schemas.openxmlformats.org/officeDocument/2006/relationships/hyperlink" Target="http://www.europerail.cn/booking/pass_passenger.aspx?type=adult&amp;pid=5331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europerail.cn/booking/pass_passenger.aspx?type=youth&amp;pid=53310" TargetMode="External"/><Relationship Id="rId14" Type="http://schemas.openxmlformats.org/officeDocument/2006/relationships/hyperlink" Target="http://www.europerail.cn/booking/pass_passenger.aspx?type=adult&amp;pid=5331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1562</Characters>
  <Application>Microsoft Office Word</Application>
  <DocSecurity>0</DocSecurity>
  <Lines>13</Lines>
  <Paragraphs>3</Paragraphs>
  <ScaleCrop>false</ScaleCrop>
  <Company>Lenovo</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3</cp:revision>
  <dcterms:created xsi:type="dcterms:W3CDTF">2012-03-30T08:44:00Z</dcterms:created>
  <dcterms:modified xsi:type="dcterms:W3CDTF">2012-03-30T08:45:00Z</dcterms:modified>
</cp:coreProperties>
</file>